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数字导频系列主要技术参数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频率范围             74</w:t>
      </w:r>
      <w:bookmarkStart w:id="0" w:name="_GoBack"/>
      <w:bookmarkEnd w:id="0"/>
      <w:r>
        <w:rPr>
          <w:rFonts w:hint="eastAsia" w:ascii="微软雅黑" w:hAnsi="微软雅黑" w:eastAsia="微软雅黑" w:cs="微软雅黑"/>
        </w:rPr>
        <w:t>0-790MHz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可调信道数          100X2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振荡方式             锁相环频率合成（PLL）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频率稳定度           ±10ppm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接收方式             超外差二次变频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导频方式             数字导频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接收灵敏度           -95～-67dBm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谐波失真             ≦3%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信噪比               ≧50dB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音频输出             平衡输出和混合输出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发射功率             3-30mW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调制方式             调频（FM）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电池规格             5号电池2节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电源规格             100-240VAC 50-60Hz 12VDC(开关电源适配)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                  或者220VAC 50-60Hz 12VDC(线性电源)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电源消耗             ≦10W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D3126"/>
    <w:rsid w:val="5C0507DB"/>
    <w:rsid w:val="7630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xiaofeng</dc:creator>
  <cp:lastModifiedBy>市场全网平台数据分析</cp:lastModifiedBy>
  <dcterms:modified xsi:type="dcterms:W3CDTF">2019-07-22T02:20:30Z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